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48" w:rsidRPr="00044BBE" w:rsidRDefault="00344348" w:rsidP="00344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 xml:space="preserve">Сделка между взаимозависимыми лицами, местом регистрации, либо местом жительства, либо местом налогового </w:t>
      </w:r>
      <w:proofErr w:type="spellStart"/>
      <w:r w:rsidRPr="00044BBE">
        <w:rPr>
          <w:rFonts w:ascii="Arial" w:hAnsi="Arial" w:cs="Arial"/>
          <w:sz w:val="21"/>
          <w:szCs w:val="21"/>
        </w:rPr>
        <w:t>резидентства</w:t>
      </w:r>
      <w:proofErr w:type="spellEnd"/>
      <w:r w:rsidRPr="00044BBE">
        <w:rPr>
          <w:rFonts w:ascii="Arial" w:hAnsi="Arial" w:cs="Arial"/>
          <w:sz w:val="21"/>
          <w:szCs w:val="21"/>
        </w:rPr>
        <w:t xml:space="preserve"> всех сторон и выгодоприобретателей по которой является Российская Федерация, признается контролируемой при наличии хотя бы одного из следующих обстоятельств:</w:t>
      </w:r>
    </w:p>
    <w:p w:rsidR="00344348" w:rsidRPr="00044BBE" w:rsidRDefault="00344348" w:rsidP="00344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>- сумма доходов по сделкам (сумма цен сделок) между указанными лицами за соответствующий календарный год превышает 1 миллиард рублей;</w:t>
      </w:r>
    </w:p>
    <w:p w:rsidR="00344348" w:rsidRPr="00044BBE" w:rsidRDefault="00344348" w:rsidP="00344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 xml:space="preserve">- одна из сторон сделки является налогоплательщиком налога на добычу полезных ископаемых, исчисляемого по налоговой ставке, установленной в процентах, и предметом сделки является добытое полезное ископаемое, признаваемое для указанной стороны сделки объектом налогообложения налогом на добычу полезных ископаемых, при добыче которого налогообложение производится по налоговой ставке, установленной в процентах (Сделки, указанные в данном пункте, признаются контролируемыми, если сумма доходов по ним (сделкам) между указанными лицами за соответствующий календарный год превышает </w:t>
      </w:r>
      <w:r w:rsidRPr="00044BBE">
        <w:rPr>
          <w:rFonts w:ascii="Arial" w:hAnsi="Arial" w:cs="Arial"/>
          <w:b/>
          <w:sz w:val="21"/>
          <w:szCs w:val="21"/>
        </w:rPr>
        <w:t>60 миллионов рублей</w:t>
      </w:r>
      <w:r w:rsidRPr="00044BBE">
        <w:rPr>
          <w:rFonts w:ascii="Arial" w:hAnsi="Arial" w:cs="Arial"/>
          <w:sz w:val="21"/>
          <w:szCs w:val="21"/>
        </w:rPr>
        <w:t>);</w:t>
      </w:r>
    </w:p>
    <w:p w:rsidR="00344348" w:rsidRPr="00044BBE" w:rsidRDefault="00344348" w:rsidP="00344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 xml:space="preserve">- хотя бы одна из сторон сделки освобождена от обязанностей налогоплательщика налога на прибыль организаций или применяет к налоговой базе по указанному налогу налоговую ставку 0 процентов в соответствии с пунктом 5.1 статьи 284 настоящего Кодекса, при этом другая сторона (стороны) сделки не освобождена (не освобождены) от этих обязанностей и не применяет (не применяют) налоговую ставку 0 процентов по указанным обстоятельствам (Сделки, указанные в данном пункте, признаются контролируемыми, если сумма доходов по ним (сделкам) между указанными лицами за соответствующий календарный год превышает </w:t>
      </w:r>
      <w:r w:rsidRPr="00044BBE">
        <w:rPr>
          <w:rFonts w:ascii="Arial" w:hAnsi="Arial" w:cs="Arial"/>
          <w:b/>
          <w:sz w:val="21"/>
          <w:szCs w:val="21"/>
        </w:rPr>
        <w:t>60 миллионов рублей</w:t>
      </w:r>
      <w:r w:rsidRPr="00044BBE">
        <w:rPr>
          <w:rFonts w:ascii="Arial" w:hAnsi="Arial" w:cs="Arial"/>
          <w:sz w:val="21"/>
          <w:szCs w:val="21"/>
        </w:rPr>
        <w:t>);</w:t>
      </w:r>
    </w:p>
    <w:p w:rsidR="00344348" w:rsidRPr="00044BBE" w:rsidRDefault="00344348" w:rsidP="00344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 xml:space="preserve">- хотя бы одна из сторон сделки является резидентом особой экономической зоны или участником свободной экономической зоны, налоговый режим в которых предусматривает специальные льготы по налогу на прибыль организаций (по сравнению с общим налоговым режимом в соответствующем субъекте Российской Федерации), при этом другая сторона (стороны) сделки не является (не являются) резидентом такой особой экономической зоны или участником такой свободной экономической зоны (Сделки, указанные в данном пункте, признаются контролируемыми, если сумма доходов по ним (сделкам) между указанными лицами за соответствующий календарный год превышает </w:t>
      </w:r>
      <w:r w:rsidRPr="00044BBE">
        <w:rPr>
          <w:rFonts w:ascii="Arial" w:hAnsi="Arial" w:cs="Arial"/>
          <w:b/>
          <w:sz w:val="21"/>
          <w:szCs w:val="21"/>
        </w:rPr>
        <w:t>60 миллионов рублей</w:t>
      </w:r>
      <w:r w:rsidRPr="00044BBE">
        <w:rPr>
          <w:rFonts w:ascii="Arial" w:hAnsi="Arial" w:cs="Arial"/>
          <w:sz w:val="21"/>
          <w:szCs w:val="21"/>
        </w:rPr>
        <w:t>);</w:t>
      </w:r>
    </w:p>
    <w:p w:rsidR="00344348" w:rsidRPr="00044BBE" w:rsidRDefault="00344348" w:rsidP="00344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 xml:space="preserve">- хотя бы одна из сторон сделки является налогоплательщиком, применяющим один из следующих специальных налоговых режимов: систему налогообложения для сельскохозяйственных товаропроизводителей (единый сельскохозяйственный налог) или систему налогообложения в виде единого налога на вмененный доход для отдельных видов деятельности (если соответствующая сделка заключена в рамках такой деятельности), при этом в числе других лиц, являющихся сторонами указанной сделки, есть лицо, не применяющее указанные специальные налоговые режимы (Сделки, указанные в данном пункте, признаются контролируемыми, если сумма доходов по ним (сделкам) между указанными лицами за соответствующий календарный год превышает </w:t>
      </w:r>
      <w:r w:rsidRPr="00044BBE">
        <w:rPr>
          <w:rFonts w:ascii="Arial" w:hAnsi="Arial" w:cs="Arial"/>
          <w:b/>
          <w:sz w:val="21"/>
          <w:szCs w:val="21"/>
        </w:rPr>
        <w:t>100 миллионов рублей</w:t>
      </w:r>
      <w:r w:rsidRPr="00044BBE">
        <w:rPr>
          <w:rFonts w:ascii="Arial" w:hAnsi="Arial" w:cs="Arial"/>
          <w:sz w:val="21"/>
          <w:szCs w:val="21"/>
        </w:rPr>
        <w:t>);</w:t>
      </w:r>
      <w:bookmarkStart w:id="0" w:name="_GoBack"/>
      <w:bookmarkEnd w:id="0"/>
    </w:p>
    <w:sectPr w:rsidR="00344348" w:rsidRPr="0004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48"/>
    <w:rsid w:val="00344348"/>
    <w:rsid w:val="00C738AB"/>
    <w:rsid w:val="00E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C6121-C084-4D81-BDF7-6EC3093A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2015-05-13T13:02:00Z</dcterms:created>
  <dcterms:modified xsi:type="dcterms:W3CDTF">2015-05-13T13:16:00Z</dcterms:modified>
</cp:coreProperties>
</file>